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80FF">
      <w:pPr>
        <w:pStyle w:val="12"/>
        <w:numPr>
          <w:numId w:val="0"/>
        </w:numPr>
        <w:ind w:left="0" w:leftChars="0" w:firstLine="643" w:firstLineChars="200"/>
        <w:rPr>
          <w:rFonts w:ascii="Times New Roman" w:hAnsi="Times New Roman" w:eastAsia="仿宋" w:cs="Times New Roman"/>
          <w:b/>
          <w:bCs/>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1.</w:t>
      </w:r>
      <w:r>
        <w:rPr>
          <w:rFonts w:hint="eastAsia" w:ascii="Times New Roman" w:hAnsi="Times New Roman" w:eastAsia="仿宋" w:cs="Times New Roman"/>
          <w:b/>
          <w:bCs/>
          <w:color w:val="000000"/>
          <w:kern w:val="2"/>
          <w:sz w:val="32"/>
          <w:szCs w:val="32"/>
          <w:lang w:val="en-US" w:eastAsia="zh-CN" w:bidi="ar-SA"/>
        </w:rPr>
        <w:t>综合评分明细表的制定以科学合理、降低评委会自由裁量权为原则。</w:t>
      </w:r>
    </w:p>
    <w:p w14:paraId="024F7AA3">
      <w:pPr>
        <w:pStyle w:val="12"/>
        <w:numPr>
          <w:numId w:val="0"/>
        </w:numPr>
        <w:ind w:left="0" w:leftChars="0" w:firstLine="643" w:firstLineChars="200"/>
        <w:rPr>
          <w:rFonts w:ascii="Times New Roman" w:hAnsi="Times New Roman" w:eastAsia="仿宋" w:cs="Times New Roman"/>
          <w:b/>
          <w:bCs/>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2.</w:t>
      </w:r>
      <w:r>
        <w:rPr>
          <w:rFonts w:hint="eastAsia" w:ascii="Times New Roman" w:hAnsi="Times New Roman" w:eastAsia="仿宋" w:cs="Times New Roman"/>
          <w:b/>
          <w:bCs/>
          <w:color w:val="000000"/>
          <w:kern w:val="2"/>
          <w:sz w:val="32"/>
          <w:szCs w:val="32"/>
          <w:lang w:val="en-US" w:eastAsia="zh-CN" w:bidi="ar-SA"/>
        </w:rPr>
        <w:t>综合评分明细表</w:t>
      </w:r>
      <w:bookmarkStart w:id="2" w:name="_GoBack"/>
      <w:bookmarkEnd w:id="2"/>
    </w:p>
    <w:tbl>
      <w:tblPr>
        <w:tblStyle w:val="9"/>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93"/>
        <w:gridCol w:w="817"/>
        <w:gridCol w:w="6236"/>
        <w:gridCol w:w="1011"/>
      </w:tblGrid>
      <w:tr w14:paraId="6D8B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3" w:type="dxa"/>
            <w:vAlign w:val="center"/>
          </w:tcPr>
          <w:p w14:paraId="36C5E909">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393" w:type="dxa"/>
            <w:vAlign w:val="center"/>
          </w:tcPr>
          <w:p w14:paraId="075E37B8">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评分因素</w:t>
            </w:r>
          </w:p>
          <w:p w14:paraId="0A8E7AAE">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及权重</w:t>
            </w:r>
          </w:p>
        </w:tc>
        <w:tc>
          <w:tcPr>
            <w:tcW w:w="817" w:type="dxa"/>
            <w:vAlign w:val="center"/>
          </w:tcPr>
          <w:p w14:paraId="099B7226">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分值</w:t>
            </w:r>
          </w:p>
        </w:tc>
        <w:tc>
          <w:tcPr>
            <w:tcW w:w="6236" w:type="dxa"/>
            <w:vAlign w:val="center"/>
          </w:tcPr>
          <w:p w14:paraId="4935E840">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011" w:type="dxa"/>
            <w:vAlign w:val="center"/>
          </w:tcPr>
          <w:p w14:paraId="3A75D149">
            <w:pPr>
              <w:pStyle w:val="13"/>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说  明</w:t>
            </w:r>
          </w:p>
        </w:tc>
      </w:tr>
      <w:tr w14:paraId="4941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32D552C4">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一</w:t>
            </w:r>
          </w:p>
        </w:tc>
        <w:tc>
          <w:tcPr>
            <w:tcW w:w="1393" w:type="dxa"/>
            <w:vAlign w:val="center"/>
          </w:tcPr>
          <w:p w14:paraId="6D0BEF9F">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投标报价</w:t>
            </w:r>
          </w:p>
          <w:p w14:paraId="4090F159">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30%</w:t>
            </w:r>
          </w:p>
        </w:tc>
        <w:tc>
          <w:tcPr>
            <w:tcW w:w="817" w:type="dxa"/>
            <w:vAlign w:val="center"/>
          </w:tcPr>
          <w:p w14:paraId="2055B141">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30分</w:t>
            </w:r>
          </w:p>
        </w:tc>
        <w:tc>
          <w:tcPr>
            <w:tcW w:w="6236" w:type="dxa"/>
            <w:vAlign w:val="center"/>
          </w:tcPr>
          <w:p w14:paraId="310726E5">
            <w:pPr>
              <w:pStyle w:val="13"/>
              <w:spacing w:line="360" w:lineRule="exact"/>
              <w:rPr>
                <w:rFonts w:hint="eastAsia" w:ascii="仿宋" w:hAnsi="仿宋" w:eastAsia="仿宋" w:cs="仿宋"/>
                <w:sz w:val="21"/>
                <w:szCs w:val="21"/>
              </w:rPr>
            </w:pPr>
            <w:r>
              <w:rPr>
                <w:rFonts w:hint="eastAsia" w:ascii="仿宋" w:hAnsi="仿宋" w:eastAsia="仿宋" w:cs="仿宋"/>
                <w:sz w:val="21"/>
                <w:szCs w:val="21"/>
              </w:rPr>
              <w:t>满足招标文件要求且投标价格最低的投标报价为评标基准价，其价格分为满分。其他投标人的价格分统一按照下列公式计算：投标报价得分=(评标基准价／投标报价)×30%×100；</w:t>
            </w:r>
          </w:p>
          <w:p w14:paraId="76233275">
            <w:pPr>
              <w:tabs>
                <w:tab w:val="left" w:pos="0"/>
              </w:tabs>
              <w:wordWrap w:val="0"/>
              <w:spacing w:line="360" w:lineRule="exact"/>
              <w:rPr>
                <w:rFonts w:hint="eastAsia" w:ascii="仿宋" w:hAnsi="仿宋" w:eastAsia="仿宋" w:cs="仿宋"/>
                <w:sz w:val="21"/>
                <w:szCs w:val="21"/>
              </w:rPr>
            </w:pPr>
            <w:r>
              <w:rPr>
                <w:rFonts w:hint="eastAsia" w:ascii="仿宋" w:hAnsi="仿宋" w:eastAsia="仿宋" w:cs="仿宋"/>
                <w:sz w:val="21"/>
                <w:szCs w:val="21"/>
              </w:rPr>
              <w:t>注：1.小微企业(残疾人福利性单位、监狱企业视同小微企业)价格扣除按照本招标文件投标人须知附表规定执行。</w:t>
            </w:r>
          </w:p>
          <w:p w14:paraId="1E13EEE4">
            <w:pPr>
              <w:tabs>
                <w:tab w:val="left" w:pos="0"/>
              </w:tabs>
              <w:wordWrap w:val="0"/>
              <w:spacing w:line="360" w:lineRule="exact"/>
              <w:rPr>
                <w:rFonts w:hint="eastAsia" w:ascii="仿宋" w:hAnsi="仿宋" w:eastAsia="仿宋" w:cs="仿宋"/>
                <w:sz w:val="21"/>
                <w:szCs w:val="21"/>
              </w:rPr>
            </w:pPr>
            <w:r>
              <w:rPr>
                <w:rFonts w:hint="eastAsia" w:ascii="仿宋" w:hAnsi="仿宋" w:eastAsia="仿宋" w:cs="仿宋"/>
                <w:sz w:val="21"/>
                <w:szCs w:val="21"/>
              </w:rPr>
              <w:t>2.评标过程中，不得去掉报价中的最高报价和最低报价。</w:t>
            </w:r>
          </w:p>
        </w:tc>
        <w:tc>
          <w:tcPr>
            <w:tcW w:w="1011" w:type="dxa"/>
            <w:vAlign w:val="center"/>
          </w:tcPr>
          <w:p w14:paraId="539DB383">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共同评审因素</w:t>
            </w:r>
          </w:p>
        </w:tc>
      </w:tr>
      <w:tr w14:paraId="2C7E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793" w:type="dxa"/>
            <w:vMerge w:val="restart"/>
            <w:vAlign w:val="center"/>
          </w:tcPr>
          <w:p w14:paraId="5BD076D8">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二</w:t>
            </w:r>
          </w:p>
        </w:tc>
        <w:tc>
          <w:tcPr>
            <w:tcW w:w="1393" w:type="dxa"/>
            <w:vAlign w:val="center"/>
          </w:tcPr>
          <w:p w14:paraId="1A000447">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技术服务要求响应</w:t>
            </w:r>
          </w:p>
          <w:p w14:paraId="7A66A084">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17" w:type="dxa"/>
            <w:vAlign w:val="center"/>
          </w:tcPr>
          <w:p w14:paraId="3273B00D">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10分</w:t>
            </w:r>
          </w:p>
        </w:tc>
        <w:tc>
          <w:tcPr>
            <w:tcW w:w="6236" w:type="dxa"/>
            <w:vAlign w:val="center"/>
          </w:tcPr>
          <w:p w14:paraId="32B7D816">
            <w:pPr>
              <w:pStyle w:val="13"/>
              <w:spacing w:line="360" w:lineRule="exact"/>
              <w:jc w:val="both"/>
              <w:rPr>
                <w:rFonts w:hint="eastAsia" w:ascii="仿宋" w:hAnsi="仿宋" w:eastAsia="仿宋" w:cs="仿宋"/>
                <w:sz w:val="21"/>
                <w:szCs w:val="21"/>
              </w:rPr>
            </w:pPr>
            <w:bookmarkStart w:id="0" w:name="_Hlk104717755"/>
            <w:r>
              <w:rPr>
                <w:rFonts w:hint="eastAsia" w:ascii="仿宋" w:hAnsi="仿宋" w:eastAsia="仿宋" w:cs="仿宋"/>
                <w:sz w:val="21"/>
                <w:szCs w:val="21"/>
              </w:rPr>
              <w:t>投标人完全响应</w:t>
            </w:r>
            <w:bookmarkEnd w:id="0"/>
            <w:r>
              <w:rPr>
                <w:rFonts w:hint="eastAsia" w:ascii="仿宋" w:hAnsi="仿宋" w:eastAsia="仿宋" w:cs="仿宋"/>
                <w:sz w:val="21"/>
                <w:szCs w:val="21"/>
              </w:rPr>
              <w:t>招标文件技术服务要求”的</w:t>
            </w:r>
            <w:bookmarkStart w:id="1" w:name="_Hlk104717785"/>
            <w:r>
              <w:rPr>
                <w:rFonts w:hint="eastAsia" w:ascii="仿宋" w:hAnsi="仿宋" w:eastAsia="仿宋" w:cs="仿宋"/>
                <w:sz w:val="21"/>
                <w:szCs w:val="21"/>
              </w:rPr>
              <w:t>得10分</w:t>
            </w:r>
            <w:bookmarkEnd w:id="1"/>
            <w:r>
              <w:rPr>
                <w:rFonts w:hint="eastAsia" w:ascii="仿宋" w:hAnsi="仿宋" w:eastAsia="仿宋" w:cs="仿宋"/>
                <w:sz w:val="21"/>
                <w:szCs w:val="21"/>
              </w:rPr>
              <w:t>；拟投产品与招标文件有负偏离的按以下方式处理：</w:t>
            </w:r>
          </w:p>
          <w:p w14:paraId="5DD0285B">
            <w:pPr>
              <w:pStyle w:val="13"/>
              <w:numPr>
                <w:ilvl w:val="0"/>
                <w:numId w:val="3"/>
              </w:numPr>
              <w:tabs>
                <w:tab w:val="clear" w:pos="312"/>
              </w:tabs>
              <w:spacing w:line="360" w:lineRule="exact"/>
              <w:jc w:val="both"/>
              <w:rPr>
                <w:rFonts w:hint="eastAsia" w:ascii="仿宋" w:hAnsi="仿宋" w:eastAsia="仿宋" w:cs="仿宋"/>
                <w:sz w:val="21"/>
                <w:szCs w:val="21"/>
              </w:rPr>
            </w:pPr>
            <w:r>
              <w:rPr>
                <w:rFonts w:hint="eastAsia" w:ascii="仿宋" w:hAnsi="仿宋" w:eastAsia="仿宋" w:cs="仿宋"/>
                <w:sz w:val="21"/>
                <w:szCs w:val="21"/>
              </w:rPr>
              <w:t>带“▲”号条款</w:t>
            </w:r>
            <w:r>
              <w:rPr>
                <w:rFonts w:hint="eastAsia" w:ascii="仿宋" w:hAnsi="仿宋" w:eastAsia="仿宋" w:cs="仿宋"/>
                <w:sz w:val="21"/>
                <w:szCs w:val="21"/>
                <w:lang w:eastAsia="zh-CN"/>
              </w:rPr>
              <w:t>(</w:t>
            </w:r>
            <w:r>
              <w:rPr>
                <w:rFonts w:hint="eastAsia" w:ascii="仿宋" w:hAnsi="仿宋" w:eastAsia="仿宋" w:cs="仿宋"/>
                <w:sz w:val="21"/>
                <w:szCs w:val="21"/>
              </w:rPr>
              <w:t>共5项</w:t>
            </w:r>
            <w:r>
              <w:rPr>
                <w:rFonts w:hint="eastAsia" w:ascii="仿宋" w:hAnsi="仿宋" w:eastAsia="仿宋" w:cs="仿宋"/>
                <w:sz w:val="21"/>
                <w:szCs w:val="21"/>
                <w:lang w:eastAsia="zh-CN"/>
              </w:rPr>
              <w:t>)</w:t>
            </w:r>
            <w:r>
              <w:rPr>
                <w:rFonts w:hint="eastAsia" w:ascii="仿宋" w:hAnsi="仿宋" w:eastAsia="仿宋" w:cs="仿宋"/>
                <w:sz w:val="21"/>
                <w:szCs w:val="21"/>
              </w:rPr>
              <w:t>作为重要指标要求，“▲”条款响应得分=(满足“▲”条款的数量÷“▲”条款的总数量)×10分；</w:t>
            </w:r>
          </w:p>
          <w:p w14:paraId="2750BCD6">
            <w:pPr>
              <w:pStyle w:val="13"/>
              <w:numPr>
                <w:ilvl w:val="0"/>
                <w:numId w:val="3"/>
              </w:numPr>
              <w:tabs>
                <w:tab w:val="clear" w:pos="312"/>
              </w:tabs>
              <w:spacing w:line="360" w:lineRule="exact"/>
              <w:jc w:val="both"/>
              <w:rPr>
                <w:rFonts w:hint="eastAsia" w:ascii="仿宋" w:hAnsi="仿宋" w:eastAsia="仿宋" w:cs="仿宋"/>
                <w:b/>
                <w:bCs/>
                <w:sz w:val="21"/>
                <w:szCs w:val="21"/>
              </w:rPr>
            </w:pPr>
            <w:r>
              <w:rPr>
                <w:rFonts w:hint="eastAsia" w:ascii="仿宋" w:hAnsi="仿宋" w:eastAsia="仿宋" w:cs="仿宋"/>
                <w:sz w:val="21"/>
                <w:szCs w:val="21"/>
              </w:rPr>
              <w:t>每有一项带“※”号的条款有负偏离的,将被视为无效投标。</w:t>
            </w:r>
          </w:p>
        </w:tc>
        <w:tc>
          <w:tcPr>
            <w:tcW w:w="1011" w:type="dxa"/>
            <w:vAlign w:val="center"/>
          </w:tcPr>
          <w:p w14:paraId="1F9A546E">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29F7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93" w:type="dxa"/>
            <w:vMerge w:val="continue"/>
            <w:vAlign w:val="center"/>
          </w:tcPr>
          <w:p w14:paraId="35057DE5">
            <w:pPr>
              <w:pStyle w:val="13"/>
              <w:spacing w:line="360" w:lineRule="exact"/>
              <w:jc w:val="center"/>
              <w:rPr>
                <w:rFonts w:hint="eastAsia" w:ascii="仿宋" w:hAnsi="仿宋" w:eastAsia="仿宋" w:cs="仿宋"/>
                <w:sz w:val="21"/>
                <w:szCs w:val="21"/>
              </w:rPr>
            </w:pPr>
          </w:p>
        </w:tc>
        <w:tc>
          <w:tcPr>
            <w:tcW w:w="1393" w:type="dxa"/>
            <w:vAlign w:val="center"/>
          </w:tcPr>
          <w:p w14:paraId="795E9C01">
            <w:pPr>
              <w:pStyle w:val="13"/>
              <w:spacing w:line="36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资金安全响应</w:t>
            </w:r>
          </w:p>
          <w:p w14:paraId="74CDCFDF">
            <w:pPr>
              <w:pStyle w:val="13"/>
              <w:spacing w:line="36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p>
        </w:tc>
        <w:tc>
          <w:tcPr>
            <w:tcW w:w="817" w:type="dxa"/>
            <w:vAlign w:val="center"/>
          </w:tcPr>
          <w:p w14:paraId="544CE681">
            <w:pPr>
              <w:pStyle w:val="13"/>
              <w:spacing w:line="36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5分</w:t>
            </w:r>
          </w:p>
        </w:tc>
        <w:tc>
          <w:tcPr>
            <w:tcW w:w="6236" w:type="dxa"/>
            <w:vAlign w:val="center"/>
          </w:tcPr>
          <w:p w14:paraId="12B4FB6F">
            <w:pPr>
              <w:pStyle w:val="13"/>
              <w:numPr>
                <w:ilvl w:val="0"/>
                <w:numId w:val="0"/>
              </w:numPr>
              <w:spacing w:line="360" w:lineRule="exact"/>
              <w:jc w:val="both"/>
              <w:rPr>
                <w:rFonts w:hint="eastAsia" w:ascii="仿宋" w:hAnsi="仿宋" w:eastAsia="仿宋" w:cs="仿宋"/>
                <w:sz w:val="21"/>
                <w:szCs w:val="21"/>
              </w:rPr>
            </w:pPr>
            <w:r>
              <w:rPr>
                <w:rFonts w:hint="eastAsia" w:ascii="仿宋" w:hAnsi="仿宋" w:eastAsia="仿宋" w:cs="仿宋"/>
                <w:sz w:val="21"/>
                <w:szCs w:val="21"/>
                <w:lang w:val="en-US" w:eastAsia="zh-CN"/>
              </w:rPr>
              <w:t>投标</w:t>
            </w:r>
            <w:r>
              <w:rPr>
                <w:rFonts w:hint="eastAsia" w:ascii="仿宋" w:hAnsi="仿宋" w:eastAsia="仿宋" w:cs="仿宋"/>
                <w:sz w:val="21"/>
                <w:szCs w:val="21"/>
              </w:rPr>
              <w:t>人</w:t>
            </w:r>
            <w:r>
              <w:rPr>
                <w:rFonts w:hint="eastAsia" w:ascii="仿宋" w:hAnsi="仿宋" w:eastAsia="仿宋" w:cs="仿宋"/>
                <w:sz w:val="21"/>
                <w:szCs w:val="21"/>
                <w:lang w:val="en-US" w:eastAsia="zh-CN"/>
              </w:rPr>
              <w:t>如获得《支付业务许可证》，并能证明采人的福利资金100%</w:t>
            </w:r>
            <w:r>
              <w:rPr>
                <w:rFonts w:hint="eastAsia" w:ascii="仿宋" w:hAnsi="仿宋" w:eastAsia="仿宋" w:cs="仿宋"/>
                <w:sz w:val="21"/>
                <w:szCs w:val="21"/>
              </w:rPr>
              <w:t>受到中国人民银行监管</w:t>
            </w:r>
            <w:r>
              <w:rPr>
                <w:rFonts w:hint="eastAsia" w:ascii="仿宋" w:hAnsi="仿宋" w:eastAsia="仿宋" w:cs="仿宋"/>
                <w:sz w:val="21"/>
                <w:szCs w:val="21"/>
                <w:lang w:val="en-US" w:eastAsia="zh-CN"/>
              </w:rPr>
              <w:t>的。</w:t>
            </w:r>
          </w:p>
        </w:tc>
        <w:tc>
          <w:tcPr>
            <w:tcW w:w="1011" w:type="dxa"/>
            <w:vAlign w:val="center"/>
          </w:tcPr>
          <w:p w14:paraId="741FAF93">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40AA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14:paraId="438BE250">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三</w:t>
            </w:r>
          </w:p>
        </w:tc>
        <w:tc>
          <w:tcPr>
            <w:tcW w:w="1393" w:type="dxa"/>
            <w:vMerge w:val="restart"/>
            <w:vAlign w:val="center"/>
          </w:tcPr>
          <w:p w14:paraId="2EB98ACE">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方案响应</w:t>
            </w:r>
          </w:p>
          <w:p w14:paraId="6B292CEB">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15</w:t>
            </w:r>
            <w:r>
              <w:rPr>
                <w:rFonts w:hint="eastAsia" w:ascii="仿宋" w:hAnsi="仿宋" w:eastAsia="仿宋" w:cs="仿宋"/>
                <w:sz w:val="21"/>
                <w:szCs w:val="21"/>
              </w:rPr>
              <w:t>%</w:t>
            </w:r>
          </w:p>
        </w:tc>
        <w:tc>
          <w:tcPr>
            <w:tcW w:w="817" w:type="dxa"/>
            <w:vAlign w:val="center"/>
          </w:tcPr>
          <w:p w14:paraId="68E3A777">
            <w:pPr>
              <w:pStyle w:val="14"/>
              <w:rPr>
                <w:rFonts w:hint="eastAsia" w:ascii="仿宋" w:hAnsi="仿宋" w:eastAsia="仿宋" w:cs="仿宋"/>
                <w:szCs w:val="21"/>
              </w:rPr>
            </w:pPr>
            <w:r>
              <w:rPr>
                <w:rFonts w:hint="eastAsia" w:ascii="仿宋" w:hAnsi="仿宋" w:eastAsia="仿宋" w:cs="仿宋"/>
                <w:szCs w:val="21"/>
              </w:rPr>
              <w:t>实施方案</w:t>
            </w:r>
          </w:p>
          <w:p w14:paraId="2A9328C4">
            <w:pPr>
              <w:pStyle w:val="14"/>
              <w:rPr>
                <w:rFonts w:hint="eastAsia" w:ascii="仿宋" w:hAnsi="仿宋" w:eastAsia="仿宋" w:cs="仿宋"/>
                <w:szCs w:val="21"/>
              </w:rPr>
            </w:pPr>
            <w:r>
              <w:rPr>
                <w:rFonts w:hint="eastAsia" w:ascii="仿宋" w:hAnsi="仿宋" w:eastAsia="仿宋" w:cs="仿宋"/>
                <w:szCs w:val="21"/>
              </w:rPr>
              <w:t>10分</w:t>
            </w:r>
          </w:p>
        </w:tc>
        <w:tc>
          <w:tcPr>
            <w:tcW w:w="6236" w:type="dxa"/>
            <w:vAlign w:val="center"/>
          </w:tcPr>
          <w:p w14:paraId="243744FD">
            <w:pPr>
              <w:pStyle w:val="8"/>
              <w:wordWrap w:val="0"/>
              <w:spacing w:line="360" w:lineRule="exact"/>
              <w:rPr>
                <w:rFonts w:hint="eastAsia" w:ascii="仿宋" w:hAnsi="仿宋" w:eastAsia="仿宋" w:cs="仿宋"/>
                <w:b/>
                <w:bCs/>
                <w:sz w:val="21"/>
                <w:szCs w:val="21"/>
              </w:rPr>
            </w:pPr>
            <w:r>
              <w:rPr>
                <w:rFonts w:hint="eastAsia" w:ascii="仿宋" w:hAnsi="仿宋" w:eastAsia="仿宋" w:cs="仿宋"/>
                <w:sz w:val="21"/>
                <w:szCs w:val="21"/>
              </w:rPr>
              <w:t>投标人结合自身情况提供针对本项目的实施方案：至少包含①项目理解及需求分析、②服务流程、③售后服务体系及售后服务人员配置、④应急预案等，上述内容均符合实际情况、内容齐全、描述准确、完全响应采购要求的得10分；每有一处存在内容错误(内容错误指：项目名称或实施地点或各种技术服务指标与本项目要求不匹配；无法实现采购目的等)的扣1.25分</w:t>
            </w:r>
            <w:r>
              <w:rPr>
                <w:rFonts w:hint="eastAsia" w:ascii="仿宋" w:hAnsi="仿宋" w:eastAsia="仿宋" w:cs="仿宋"/>
                <w:sz w:val="21"/>
                <w:szCs w:val="21"/>
                <w:lang w:eastAsia="zh-CN"/>
              </w:rPr>
              <w:t>(</w:t>
            </w:r>
            <w:r>
              <w:rPr>
                <w:rFonts w:hint="eastAsia" w:ascii="仿宋" w:hAnsi="仿宋" w:eastAsia="仿宋" w:cs="仿宋"/>
                <w:sz w:val="21"/>
                <w:szCs w:val="21"/>
              </w:rPr>
              <w:t>相同错误按次数累计扣分</w:t>
            </w:r>
            <w:r>
              <w:rPr>
                <w:rFonts w:hint="eastAsia" w:ascii="仿宋" w:hAnsi="仿宋" w:eastAsia="仿宋" w:cs="仿宋"/>
                <w:sz w:val="21"/>
                <w:szCs w:val="21"/>
                <w:lang w:eastAsia="zh-CN"/>
              </w:rPr>
              <w:t>)</w:t>
            </w:r>
            <w:r>
              <w:rPr>
                <w:rFonts w:hint="eastAsia" w:ascii="仿宋" w:hAnsi="仿宋" w:eastAsia="仿宋" w:cs="仿宋"/>
                <w:sz w:val="21"/>
                <w:szCs w:val="21"/>
              </w:rPr>
              <w:t>，每缺少一项内容的扣2.5分，扣完为止。</w:t>
            </w:r>
          </w:p>
        </w:tc>
        <w:tc>
          <w:tcPr>
            <w:tcW w:w="1011" w:type="dxa"/>
            <w:vMerge w:val="restart"/>
            <w:vAlign w:val="center"/>
          </w:tcPr>
          <w:p w14:paraId="0F324E09">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4D7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14:paraId="324EB8F4">
            <w:pPr>
              <w:pStyle w:val="13"/>
              <w:spacing w:line="360" w:lineRule="exact"/>
              <w:jc w:val="center"/>
              <w:rPr>
                <w:rFonts w:hint="eastAsia" w:ascii="仿宋" w:hAnsi="仿宋" w:eastAsia="仿宋" w:cs="仿宋"/>
                <w:sz w:val="21"/>
                <w:szCs w:val="21"/>
              </w:rPr>
            </w:pPr>
          </w:p>
        </w:tc>
        <w:tc>
          <w:tcPr>
            <w:tcW w:w="1393" w:type="dxa"/>
            <w:vMerge w:val="continue"/>
            <w:vAlign w:val="center"/>
          </w:tcPr>
          <w:p w14:paraId="5905E71E">
            <w:pPr>
              <w:pStyle w:val="13"/>
              <w:spacing w:line="360" w:lineRule="exact"/>
              <w:jc w:val="center"/>
              <w:rPr>
                <w:rFonts w:hint="eastAsia" w:ascii="仿宋" w:hAnsi="仿宋" w:eastAsia="仿宋" w:cs="仿宋"/>
                <w:sz w:val="21"/>
                <w:szCs w:val="21"/>
              </w:rPr>
            </w:pPr>
          </w:p>
        </w:tc>
        <w:tc>
          <w:tcPr>
            <w:tcW w:w="817" w:type="dxa"/>
            <w:vAlign w:val="center"/>
          </w:tcPr>
          <w:p w14:paraId="2AFA6299">
            <w:pPr>
              <w:pStyle w:val="14"/>
              <w:rPr>
                <w:rFonts w:hint="eastAsia" w:ascii="仿宋" w:hAnsi="仿宋" w:eastAsia="仿宋" w:cs="仿宋"/>
                <w:snapToGrid w:val="0"/>
                <w:szCs w:val="21"/>
              </w:rPr>
            </w:pPr>
            <w:r>
              <w:rPr>
                <w:rFonts w:hint="eastAsia" w:ascii="仿宋" w:hAnsi="仿宋" w:eastAsia="仿宋" w:cs="仿宋"/>
                <w:snapToGrid w:val="0"/>
                <w:szCs w:val="21"/>
              </w:rPr>
              <w:t>服务方案</w:t>
            </w:r>
          </w:p>
          <w:p w14:paraId="77EF7213">
            <w:pPr>
              <w:pStyle w:val="14"/>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分</w:t>
            </w:r>
          </w:p>
        </w:tc>
        <w:tc>
          <w:tcPr>
            <w:tcW w:w="6236" w:type="dxa"/>
            <w:vAlign w:val="center"/>
          </w:tcPr>
          <w:p w14:paraId="0B21C5DB">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投标人提供针对本项目的服务方案，包括但不限于：</w:t>
            </w:r>
          </w:p>
          <w:p w14:paraId="0A5A48B7">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1.投标人中标后3日内提供详细的图文版提货凭证使用说明；</w:t>
            </w:r>
          </w:p>
          <w:p w14:paraId="3C421EDD">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2.在合作期间建立固定的3人及以上执行团队提供专业服务支撑，并确定24小时联络人员。如有变更，应及时书面通知采购人。</w:t>
            </w:r>
          </w:p>
          <w:p w14:paraId="7FF4A488">
            <w:pPr>
              <w:tabs>
                <w:tab w:val="left" w:pos="0"/>
              </w:tabs>
              <w:wordWrap w:val="0"/>
              <w:topLinePunct/>
              <w:spacing w:line="360" w:lineRule="exact"/>
              <w:rPr>
                <w:rFonts w:hint="eastAsia" w:ascii="仿宋" w:hAnsi="仿宋" w:eastAsia="仿宋" w:cs="仿宋"/>
                <w:snapToGrid w:val="0"/>
                <w:sz w:val="21"/>
                <w:szCs w:val="21"/>
              </w:rPr>
            </w:pPr>
            <w:r>
              <w:rPr>
                <w:rFonts w:hint="eastAsia" w:ascii="仿宋" w:hAnsi="仿宋" w:eastAsia="仿宋" w:cs="仿宋"/>
                <w:snapToGrid w:val="0"/>
                <w:sz w:val="21"/>
                <w:szCs w:val="21"/>
              </w:rPr>
              <w:t>3.项目执行过程中，可随时向采购人提供提货凭证的使用情况。如已发放的电子提货凭证在一定时间内未使用，需协助采购人通知提醒提货凭证使用人，保障其权益，并可根据采购人的要求在一定期限后将未开启使用的电子提货凭证转化为实物提货凭证或实物等方式交付采购人。</w:t>
            </w:r>
          </w:p>
          <w:p w14:paraId="53CE22D2">
            <w:pPr>
              <w:tabs>
                <w:tab w:val="left" w:pos="0"/>
              </w:tabs>
              <w:wordWrap w:val="0"/>
              <w:topLinePunct/>
              <w:spacing w:line="360" w:lineRule="exact"/>
              <w:rPr>
                <w:rFonts w:hint="eastAsia" w:ascii="仿宋" w:hAnsi="仿宋" w:eastAsia="仿宋" w:cs="仿宋"/>
                <w:b/>
                <w:bCs/>
                <w:sz w:val="21"/>
                <w:szCs w:val="21"/>
              </w:rPr>
            </w:pPr>
            <w:r>
              <w:rPr>
                <w:rFonts w:hint="eastAsia" w:ascii="仿宋" w:hAnsi="仿宋" w:eastAsia="仿宋" w:cs="仿宋"/>
                <w:snapToGrid w:val="0"/>
                <w:sz w:val="21"/>
                <w:szCs w:val="21"/>
              </w:rPr>
              <w:t>投标人提供的服务方案完全响应上述内容的得1分；在完全响应上述要求的基础上，每有1项具有详细的实施流程和具体保障措施的加</w:t>
            </w:r>
            <w:r>
              <w:rPr>
                <w:rFonts w:hint="eastAsia" w:ascii="仿宋" w:hAnsi="仿宋" w:eastAsia="仿宋" w:cs="仿宋"/>
                <w:snapToGrid w:val="0"/>
                <w:sz w:val="21"/>
                <w:szCs w:val="21"/>
                <w:lang w:val="en-US" w:eastAsia="zh-CN"/>
              </w:rPr>
              <w:t>2</w:t>
            </w:r>
            <w:r>
              <w:rPr>
                <w:rFonts w:hint="eastAsia" w:ascii="仿宋" w:hAnsi="仿宋" w:eastAsia="仿宋" w:cs="仿宋"/>
                <w:snapToGrid w:val="0"/>
                <w:sz w:val="21"/>
                <w:szCs w:val="21"/>
              </w:rPr>
              <w:t>分，最多加</w:t>
            </w:r>
            <w:r>
              <w:rPr>
                <w:rFonts w:hint="eastAsia" w:ascii="仿宋" w:hAnsi="仿宋" w:eastAsia="仿宋" w:cs="仿宋"/>
                <w:snapToGrid w:val="0"/>
                <w:sz w:val="21"/>
                <w:szCs w:val="21"/>
                <w:lang w:val="en-US" w:eastAsia="zh-CN"/>
              </w:rPr>
              <w:t>4</w:t>
            </w:r>
            <w:r>
              <w:rPr>
                <w:rFonts w:hint="eastAsia" w:ascii="仿宋" w:hAnsi="仿宋" w:eastAsia="仿宋" w:cs="仿宋"/>
                <w:snapToGrid w:val="0"/>
                <w:sz w:val="21"/>
                <w:szCs w:val="21"/>
              </w:rPr>
              <w:t>分；本项目最多得</w:t>
            </w:r>
            <w:r>
              <w:rPr>
                <w:rFonts w:hint="eastAsia" w:ascii="仿宋" w:hAnsi="仿宋" w:eastAsia="仿宋" w:cs="仿宋"/>
                <w:snapToGrid w:val="0"/>
                <w:sz w:val="21"/>
                <w:szCs w:val="21"/>
                <w:lang w:val="en-US" w:eastAsia="zh-CN"/>
              </w:rPr>
              <w:t>5</w:t>
            </w:r>
            <w:r>
              <w:rPr>
                <w:rFonts w:hint="eastAsia" w:ascii="仿宋" w:hAnsi="仿宋" w:eastAsia="仿宋" w:cs="仿宋"/>
                <w:snapToGrid w:val="0"/>
                <w:sz w:val="21"/>
                <w:szCs w:val="21"/>
              </w:rPr>
              <w:t>分。</w:t>
            </w:r>
          </w:p>
        </w:tc>
        <w:tc>
          <w:tcPr>
            <w:tcW w:w="1011" w:type="dxa"/>
            <w:vMerge w:val="continue"/>
            <w:vAlign w:val="center"/>
          </w:tcPr>
          <w:p w14:paraId="03ADEFC0">
            <w:pPr>
              <w:pStyle w:val="13"/>
              <w:spacing w:line="360" w:lineRule="exact"/>
              <w:jc w:val="center"/>
              <w:rPr>
                <w:rFonts w:hint="eastAsia" w:ascii="仿宋" w:hAnsi="仿宋" w:eastAsia="仿宋" w:cs="仿宋"/>
                <w:sz w:val="21"/>
                <w:szCs w:val="21"/>
              </w:rPr>
            </w:pPr>
          </w:p>
        </w:tc>
      </w:tr>
      <w:tr w14:paraId="0633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012A186">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四</w:t>
            </w:r>
          </w:p>
        </w:tc>
        <w:tc>
          <w:tcPr>
            <w:tcW w:w="1393" w:type="dxa"/>
            <w:vAlign w:val="center"/>
          </w:tcPr>
          <w:p w14:paraId="79C60F96">
            <w:pPr>
              <w:tabs>
                <w:tab w:val="left" w:pos="0"/>
              </w:tabs>
              <w:spacing w:line="360" w:lineRule="exact"/>
              <w:jc w:val="center"/>
              <w:rPr>
                <w:rFonts w:hint="eastAsia" w:ascii="仿宋" w:hAnsi="仿宋" w:eastAsia="仿宋" w:cs="仿宋"/>
                <w:sz w:val="21"/>
                <w:szCs w:val="21"/>
              </w:rPr>
            </w:pPr>
            <w:r>
              <w:rPr>
                <w:rFonts w:hint="eastAsia" w:ascii="仿宋" w:hAnsi="仿宋" w:eastAsia="仿宋" w:cs="仿宋"/>
                <w:kern w:val="0"/>
                <w:sz w:val="21"/>
                <w:szCs w:val="21"/>
              </w:rPr>
              <w:t>货源组织30%</w:t>
            </w:r>
          </w:p>
        </w:tc>
        <w:tc>
          <w:tcPr>
            <w:tcW w:w="817" w:type="dxa"/>
            <w:vAlign w:val="center"/>
          </w:tcPr>
          <w:p w14:paraId="21DA708E">
            <w:pPr>
              <w:tabs>
                <w:tab w:val="left" w:pos="0"/>
              </w:tabs>
              <w:spacing w:line="360" w:lineRule="exact"/>
              <w:jc w:val="both"/>
              <w:rPr>
                <w:rFonts w:hint="eastAsia" w:ascii="仿宋" w:hAnsi="仿宋" w:eastAsia="仿宋" w:cs="仿宋"/>
                <w:sz w:val="21"/>
                <w:szCs w:val="21"/>
              </w:rPr>
            </w:pPr>
            <w:r>
              <w:rPr>
                <w:rFonts w:hint="eastAsia" w:ascii="仿宋" w:hAnsi="仿宋" w:eastAsia="仿宋" w:cs="仿宋"/>
                <w:kern w:val="0"/>
                <w:sz w:val="21"/>
                <w:szCs w:val="21"/>
              </w:rPr>
              <w:t>30分</w:t>
            </w:r>
          </w:p>
        </w:tc>
        <w:tc>
          <w:tcPr>
            <w:tcW w:w="6236" w:type="dxa"/>
            <w:vAlign w:val="center"/>
          </w:tcPr>
          <w:p w14:paraId="4992478A">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rPr>
              <w:t>投标人提货凭证能在连锁商超/电商平台</w:t>
            </w:r>
            <w:r>
              <w:rPr>
                <w:rFonts w:hint="eastAsia" w:ascii="仿宋" w:hAnsi="仿宋" w:eastAsia="仿宋" w:cs="仿宋"/>
                <w:kern w:val="0"/>
                <w:sz w:val="21"/>
                <w:szCs w:val="21"/>
                <w:lang w:val="en-US" w:eastAsia="zh-CN"/>
              </w:rPr>
              <w:t>/文化旅游产品方面使用</w:t>
            </w:r>
            <w:r>
              <w:rPr>
                <w:rFonts w:hint="eastAsia" w:ascii="仿宋" w:hAnsi="仿宋" w:eastAsia="仿宋" w:cs="仿宋"/>
                <w:kern w:val="0"/>
                <w:sz w:val="21"/>
                <w:szCs w:val="21"/>
              </w:rPr>
              <w:t>，按以下标准加分：</w:t>
            </w:r>
          </w:p>
          <w:p w14:paraId="406A0207">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大型商超</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如：沃尔玛、</w:t>
            </w:r>
            <w:r>
              <w:rPr>
                <w:rFonts w:hint="eastAsia" w:ascii="仿宋" w:hAnsi="仿宋" w:eastAsia="仿宋" w:cs="仿宋"/>
                <w:kern w:val="0"/>
                <w:sz w:val="21"/>
                <w:szCs w:val="21"/>
                <w:lang w:val="en-US" w:eastAsia="zh-CN"/>
              </w:rPr>
              <w:t>华润</w:t>
            </w:r>
            <w:r>
              <w:rPr>
                <w:rFonts w:hint="eastAsia" w:ascii="仿宋" w:hAnsi="仿宋" w:eastAsia="仿宋" w:cs="仿宋"/>
                <w:kern w:val="0"/>
                <w:sz w:val="21"/>
                <w:szCs w:val="21"/>
              </w:rPr>
              <w:t>、永辉、大润发、麦德龙或其他同类型商家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19C2E8A1">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连锁便利店</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如：红旗连锁、舞东风连锁、711、全家便利店、罗森、屈臣氏或其他同类型商家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21E792F9">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电商平台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如：京东、</w:t>
            </w:r>
            <w:r>
              <w:rPr>
                <w:rFonts w:hint="eastAsia" w:ascii="仿宋" w:hAnsi="仿宋" w:eastAsia="仿宋" w:cs="仿宋"/>
                <w:kern w:val="0"/>
                <w:sz w:val="21"/>
                <w:szCs w:val="21"/>
                <w:lang w:val="en-US" w:eastAsia="zh-CN"/>
              </w:rPr>
              <w:t>天猫</w:t>
            </w:r>
            <w:r>
              <w:rPr>
                <w:rFonts w:hint="eastAsia" w:ascii="仿宋" w:hAnsi="仿宋" w:eastAsia="仿宋" w:cs="仿宋"/>
                <w:kern w:val="0"/>
                <w:sz w:val="21"/>
                <w:szCs w:val="21"/>
              </w:rPr>
              <w:t>、盒马、唯品会或其他同类型平台</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098497D7">
            <w:pPr>
              <w:tabs>
                <w:tab w:val="left" w:pos="0"/>
              </w:tabs>
              <w:spacing w:line="360" w:lineRule="exact"/>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4</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连锁蛋糕店</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如：好利来、安德鲁森、爱达乐、巴黎贝甜、元祖或其他同类型商家</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，每有1家得2分。</w:t>
            </w:r>
          </w:p>
          <w:p w14:paraId="59904C38">
            <w:pPr>
              <w:tabs>
                <w:tab w:val="left" w:pos="0"/>
              </w:tabs>
              <w:spacing w:line="360" w:lineRule="exact"/>
              <w:rPr>
                <w:rFonts w:hint="default" w:eastAsia="仿宋"/>
                <w:lang w:val="en-US" w:eastAsia="zh-CN"/>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平台上有文化旅游专区的消费，包含餐饮美食、酒店民宿、景点门票、文创商品、线下文博、交通出行，每有一家得2分。</w:t>
            </w:r>
          </w:p>
          <w:p w14:paraId="4AAA2D6A">
            <w:pPr>
              <w:tabs>
                <w:tab w:val="left" w:pos="0"/>
              </w:tabs>
              <w:spacing w:line="360" w:lineRule="exact"/>
              <w:rPr>
                <w:rFonts w:hint="eastAsia" w:ascii="仿宋" w:hAnsi="仿宋" w:eastAsia="仿宋" w:cs="仿宋"/>
                <w:kern w:val="0"/>
                <w:sz w:val="21"/>
                <w:szCs w:val="21"/>
              </w:rPr>
            </w:pPr>
          </w:p>
          <w:p w14:paraId="22BD92B4">
            <w:pPr>
              <w:tabs>
                <w:tab w:val="left" w:pos="0"/>
              </w:tabs>
              <w:spacing w:line="360" w:lineRule="exact"/>
              <w:rPr>
                <w:rFonts w:hint="eastAsia" w:ascii="仿宋" w:hAnsi="仿宋" w:eastAsia="仿宋" w:cs="仿宋"/>
                <w:b/>
                <w:kern w:val="0"/>
                <w:sz w:val="21"/>
                <w:szCs w:val="21"/>
              </w:rPr>
            </w:pPr>
            <w:r>
              <w:rPr>
                <w:rFonts w:hint="eastAsia" w:ascii="仿宋" w:hAnsi="仿宋" w:eastAsia="仿宋" w:cs="仿宋"/>
                <w:b/>
                <w:kern w:val="0"/>
                <w:sz w:val="21"/>
                <w:szCs w:val="21"/>
              </w:rPr>
              <w:t>同一类型商家最多按5家计分，本项得分为上述</w:t>
            </w:r>
            <w:r>
              <w:rPr>
                <w:rFonts w:hint="eastAsia" w:ascii="仿宋" w:hAnsi="仿宋" w:eastAsia="仿宋" w:cs="仿宋"/>
                <w:b/>
                <w:kern w:val="0"/>
                <w:sz w:val="21"/>
                <w:szCs w:val="21"/>
                <w:lang w:val="en-US" w:eastAsia="zh-CN"/>
              </w:rPr>
              <w:t>5</w:t>
            </w:r>
            <w:r>
              <w:rPr>
                <w:rFonts w:hint="eastAsia" w:ascii="仿宋" w:hAnsi="仿宋" w:eastAsia="仿宋" w:cs="仿宋"/>
                <w:b/>
                <w:kern w:val="0"/>
                <w:sz w:val="21"/>
                <w:szCs w:val="21"/>
              </w:rPr>
              <w:t>项得分之和，本项最多得30分。</w:t>
            </w:r>
          </w:p>
          <w:p w14:paraId="0F753210">
            <w:pPr>
              <w:tabs>
                <w:tab w:val="left" w:pos="0"/>
              </w:tabs>
              <w:spacing w:line="360" w:lineRule="exact"/>
              <w:rPr>
                <w:rFonts w:hint="eastAsia" w:ascii="仿宋" w:hAnsi="仿宋" w:eastAsia="仿宋" w:cs="仿宋"/>
                <w:b/>
                <w:bCs/>
                <w:sz w:val="21"/>
                <w:szCs w:val="21"/>
              </w:rPr>
            </w:pPr>
            <w:r>
              <w:rPr>
                <w:rFonts w:hint="eastAsia" w:ascii="仿宋" w:hAnsi="仿宋" w:eastAsia="仿宋" w:cs="仿宋"/>
                <w:b/>
                <w:bCs/>
                <w:kern w:val="0"/>
                <w:sz w:val="21"/>
                <w:szCs w:val="21"/>
              </w:rPr>
              <w:t>注：投标人可以选择列举商家以外的其他使用商家进行响应，经评标委员评审符合对应类型即可得分。其他同类型是指：在经营面积/店铺覆盖率/经营类型/线上访问量等方面等同于或优于列举商家。如同一商家同时有线上平台和线下卖场的，按得分高的情形计分1次，不重复计算。提供与商家合作的相关证明材料复印件。</w:t>
            </w:r>
          </w:p>
        </w:tc>
        <w:tc>
          <w:tcPr>
            <w:tcW w:w="1011" w:type="dxa"/>
            <w:vAlign w:val="center"/>
          </w:tcPr>
          <w:p w14:paraId="61340BF6">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技术类评审因素</w:t>
            </w:r>
          </w:p>
        </w:tc>
      </w:tr>
      <w:tr w14:paraId="5BD5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93" w:type="dxa"/>
            <w:vAlign w:val="center"/>
          </w:tcPr>
          <w:p w14:paraId="457F5118">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五</w:t>
            </w:r>
          </w:p>
        </w:tc>
        <w:tc>
          <w:tcPr>
            <w:tcW w:w="1393" w:type="dxa"/>
            <w:vAlign w:val="center"/>
          </w:tcPr>
          <w:p w14:paraId="3A5A8CB9">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履约经验</w:t>
            </w:r>
          </w:p>
          <w:p w14:paraId="6ACE48BF">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17" w:type="dxa"/>
            <w:vAlign w:val="center"/>
          </w:tcPr>
          <w:p w14:paraId="3DD6507B">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10分</w:t>
            </w:r>
          </w:p>
        </w:tc>
        <w:tc>
          <w:tcPr>
            <w:tcW w:w="6236" w:type="dxa"/>
            <w:vAlign w:val="center"/>
          </w:tcPr>
          <w:p w14:paraId="1A6AF37B">
            <w:pPr>
              <w:pStyle w:val="15"/>
              <w:ind w:left="0" w:leftChars="0"/>
              <w:rPr>
                <w:rFonts w:hint="eastAsia" w:ascii="仿宋" w:hAnsi="仿宋" w:eastAsia="仿宋" w:cs="仿宋"/>
                <w:szCs w:val="21"/>
              </w:rPr>
            </w:pPr>
            <w:r>
              <w:rPr>
                <w:rFonts w:hint="eastAsia" w:ascii="仿宋" w:hAnsi="仿宋" w:eastAsia="仿宋" w:cs="仿宋"/>
                <w:szCs w:val="21"/>
              </w:rPr>
              <w:t>投标人自</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22</w:t>
            </w:r>
            <w:r>
              <w:rPr>
                <w:rFonts w:hint="eastAsia" w:ascii="仿宋" w:hAnsi="仿宋" w:eastAsia="仿宋" w:cs="仿宋"/>
                <w:szCs w:val="21"/>
              </w:rPr>
              <w:t>年1月1日</w:t>
            </w:r>
            <w:r>
              <w:rPr>
                <w:rFonts w:hint="eastAsia" w:ascii="仿宋" w:hAnsi="仿宋" w:eastAsia="仿宋" w:cs="仿宋"/>
                <w:szCs w:val="21"/>
                <w:lang w:eastAsia="zh-CN"/>
              </w:rPr>
              <w:t>(</w:t>
            </w:r>
            <w:r>
              <w:rPr>
                <w:rFonts w:hint="eastAsia" w:ascii="仿宋" w:hAnsi="仿宋" w:eastAsia="仿宋" w:cs="仿宋"/>
                <w:szCs w:val="21"/>
              </w:rPr>
              <w:t>含</w:t>
            </w:r>
            <w:r>
              <w:rPr>
                <w:rFonts w:hint="eastAsia" w:ascii="仿宋" w:hAnsi="仿宋" w:eastAsia="仿宋" w:cs="仿宋"/>
                <w:szCs w:val="21"/>
                <w:lang w:eastAsia="zh-CN"/>
              </w:rPr>
              <w:t>)</w:t>
            </w:r>
            <w:r>
              <w:rPr>
                <w:rFonts w:hint="eastAsia" w:ascii="仿宋" w:hAnsi="仿宋" w:eastAsia="仿宋" w:cs="仿宋"/>
                <w:szCs w:val="21"/>
              </w:rPr>
              <w:t>以来每具有1个类似项目的履约经验得2分，最多得10分。</w:t>
            </w:r>
          </w:p>
          <w:p w14:paraId="07CEBB80">
            <w:pPr>
              <w:pStyle w:val="13"/>
              <w:spacing w:line="360" w:lineRule="exact"/>
              <w:rPr>
                <w:rFonts w:hint="eastAsia" w:ascii="仿宋" w:hAnsi="仿宋" w:eastAsia="仿宋" w:cs="仿宋"/>
                <w:szCs w:val="21"/>
                <w:lang w:eastAsia="zh-CN"/>
              </w:rPr>
            </w:pPr>
            <w:r>
              <w:rPr>
                <w:rFonts w:hint="eastAsia" w:ascii="仿宋" w:hAnsi="仿宋" w:eastAsia="仿宋" w:cs="仿宋"/>
                <w:b/>
                <w:bCs/>
                <w:sz w:val="21"/>
                <w:szCs w:val="21"/>
              </w:rPr>
              <w:t>注：提供合同复印件，类似项目是指：</w:t>
            </w:r>
            <w:r>
              <w:rPr>
                <w:rFonts w:hint="eastAsia" w:ascii="仿宋" w:hAnsi="仿宋" w:eastAsia="仿宋" w:cs="仿宋"/>
                <w:b/>
                <w:bCs/>
                <w:sz w:val="21"/>
                <w:szCs w:val="21"/>
                <w:lang w:val="en-US" w:eastAsia="zh-CN"/>
              </w:rPr>
              <w:t>以往关于工会消费券的</w:t>
            </w:r>
            <w:r>
              <w:rPr>
                <w:rFonts w:hint="eastAsia" w:ascii="仿宋" w:hAnsi="仿宋" w:eastAsia="仿宋" w:cs="仿宋"/>
                <w:b/>
                <w:bCs/>
                <w:sz w:val="21"/>
                <w:szCs w:val="21"/>
              </w:rPr>
              <w:t>采购</w:t>
            </w:r>
            <w:r>
              <w:rPr>
                <w:rFonts w:hint="eastAsia" w:ascii="仿宋" w:hAnsi="仿宋" w:eastAsia="仿宋" w:cs="仿宋"/>
                <w:b/>
                <w:bCs/>
                <w:sz w:val="21"/>
                <w:szCs w:val="21"/>
                <w:lang w:eastAsia="zh-CN"/>
              </w:rPr>
              <w:t>。</w:t>
            </w:r>
          </w:p>
        </w:tc>
        <w:tc>
          <w:tcPr>
            <w:tcW w:w="1011" w:type="dxa"/>
            <w:vAlign w:val="center"/>
          </w:tcPr>
          <w:p w14:paraId="1E54AF1C">
            <w:pPr>
              <w:pStyle w:val="13"/>
              <w:spacing w:line="360" w:lineRule="exact"/>
              <w:jc w:val="center"/>
              <w:rPr>
                <w:rFonts w:hint="eastAsia" w:ascii="仿宋" w:hAnsi="仿宋" w:eastAsia="仿宋" w:cs="仿宋"/>
                <w:sz w:val="21"/>
                <w:szCs w:val="21"/>
              </w:rPr>
            </w:pPr>
            <w:r>
              <w:rPr>
                <w:rFonts w:hint="eastAsia" w:ascii="仿宋" w:hAnsi="仿宋" w:eastAsia="仿宋" w:cs="仿宋"/>
                <w:sz w:val="21"/>
                <w:szCs w:val="21"/>
              </w:rPr>
              <w:t>共同评审因素</w:t>
            </w:r>
          </w:p>
        </w:tc>
      </w:tr>
      <w:tr w14:paraId="4E25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0" w:type="dxa"/>
            <w:gridSpan w:val="5"/>
            <w:vAlign w:val="center"/>
          </w:tcPr>
          <w:p w14:paraId="40685F16">
            <w:pPr>
              <w:pStyle w:val="13"/>
              <w:spacing w:line="360" w:lineRule="exact"/>
              <w:jc w:val="both"/>
              <w:rPr>
                <w:rFonts w:cs="宋体"/>
                <w:sz w:val="21"/>
                <w:szCs w:val="21"/>
              </w:rPr>
            </w:pPr>
            <w:r>
              <w:rPr>
                <w:rFonts w:hint="eastAsia" w:cs="宋体"/>
                <w:sz w:val="21"/>
                <w:szCs w:val="21"/>
              </w:rPr>
              <w:t>注：</w:t>
            </w:r>
            <w:r>
              <w:rPr>
                <w:rFonts w:hint="eastAsia" w:cs="宋体"/>
                <w:sz w:val="21"/>
                <w:szCs w:val="21"/>
              </w:rPr>
              <w:fldChar w:fldCharType="begin"/>
            </w:r>
            <w:r>
              <w:rPr>
                <w:rFonts w:hint="eastAsia" w:cs="宋体"/>
                <w:sz w:val="21"/>
                <w:szCs w:val="21"/>
              </w:rPr>
              <w:instrText xml:space="preserve"> = 1 \* GB3 \* MERGEFORMAT </w:instrText>
            </w:r>
            <w:r>
              <w:rPr>
                <w:rFonts w:hint="eastAsia" w:cs="宋体"/>
                <w:sz w:val="21"/>
                <w:szCs w:val="21"/>
              </w:rPr>
              <w:fldChar w:fldCharType="separate"/>
            </w:r>
            <w:r>
              <w:rPr>
                <w:rFonts w:hint="eastAsia" w:cs="宋体"/>
                <w:sz w:val="21"/>
                <w:szCs w:val="21"/>
              </w:rPr>
              <w:t>①</w:t>
            </w:r>
            <w:r>
              <w:rPr>
                <w:rFonts w:hint="eastAsia" w:cs="宋体"/>
                <w:sz w:val="21"/>
                <w:szCs w:val="21"/>
              </w:rPr>
              <w:fldChar w:fldCharType="end"/>
            </w:r>
            <w:r>
              <w:rPr>
                <w:rFonts w:hint="eastAsia" w:cs="宋体"/>
                <w:sz w:val="21"/>
                <w:szCs w:val="21"/>
              </w:rPr>
              <w:t>评分的取值按四舍五入法，小数点后保留两位。</w:t>
            </w:r>
            <w:r>
              <w:rPr>
                <w:rFonts w:hint="eastAsia" w:cs="宋体"/>
                <w:sz w:val="21"/>
                <w:szCs w:val="21"/>
              </w:rPr>
              <w:fldChar w:fldCharType="begin"/>
            </w:r>
            <w:r>
              <w:rPr>
                <w:rFonts w:hint="eastAsia" w:cs="宋体"/>
                <w:sz w:val="21"/>
                <w:szCs w:val="21"/>
              </w:rPr>
              <w:instrText xml:space="preserve"> = 2 \* GB3 \* MERGEFORMAT </w:instrText>
            </w:r>
            <w:r>
              <w:rPr>
                <w:rFonts w:hint="eastAsia" w:cs="宋体"/>
                <w:sz w:val="21"/>
                <w:szCs w:val="21"/>
              </w:rPr>
              <w:fldChar w:fldCharType="separate"/>
            </w:r>
            <w:r>
              <w:rPr>
                <w:rFonts w:hint="eastAsia" w:cs="宋体"/>
                <w:sz w:val="21"/>
                <w:szCs w:val="21"/>
              </w:rPr>
              <w:t>②</w:t>
            </w:r>
            <w:r>
              <w:rPr>
                <w:rFonts w:hint="eastAsia" w:cs="宋体"/>
                <w:sz w:val="21"/>
                <w:szCs w:val="21"/>
              </w:rPr>
              <w:fldChar w:fldCharType="end"/>
            </w:r>
            <w:r>
              <w:rPr>
                <w:rFonts w:hint="eastAsia" w:cs="宋体"/>
                <w:sz w:val="21"/>
                <w:szCs w:val="21"/>
              </w:rPr>
              <w:t>本表中要求提供的各类证明材料应清晰可辨，均需加盖供应商单位公章，否则将不认可该项材料的有效性。</w:t>
            </w:r>
          </w:p>
        </w:tc>
      </w:tr>
    </w:tbl>
    <w:p w14:paraId="333E610E">
      <w:pPr>
        <w:pStyle w:val="2"/>
      </w:pPr>
    </w:p>
    <w:p w14:paraId="7F9BBF79"/>
    <w:sectPr>
      <w:pgSz w:w="11906" w:h="16838"/>
      <w:pgMar w:top="1240" w:right="1800" w:bottom="10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F2A45"/>
    <w:multiLevelType w:val="singleLevel"/>
    <w:tmpl w:val="822F2A45"/>
    <w:lvl w:ilvl="0" w:tentative="0">
      <w:start w:val="1"/>
      <w:numFmt w:val="decimal"/>
      <w:lvlText w:val="%1."/>
      <w:lvlJc w:val="left"/>
      <w:pPr>
        <w:tabs>
          <w:tab w:val="left" w:pos="312"/>
        </w:tabs>
      </w:p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1"/>
      <w:suff w:val="nothing"/>
      <w:lvlText w:val="(%2)"/>
      <w:lvlJc w:val="left"/>
      <w:pPr>
        <w:ind w:left="-60" w:firstLine="0"/>
      </w:pPr>
      <w:rPr>
        <w:rFonts w:hint="eastAsia" w:ascii="宋体" w:hAnsi="宋体" w:eastAsia="宋体" w:cs="宋体"/>
      </w:rPr>
    </w:lvl>
    <w:lvl w:ilvl="2" w:tentative="0">
      <w:start w:val="1"/>
      <w:numFmt w:val="decimal"/>
      <w:pStyle w:val="12"/>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B37CA"/>
    <w:rsid w:val="281E7632"/>
    <w:rsid w:val="349347C2"/>
    <w:rsid w:val="4DA06EEE"/>
    <w:rsid w:val="5F243AF9"/>
    <w:rsid w:val="68B6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jc w:val="center"/>
      <w:outlineLvl w:val="0"/>
    </w:pPr>
    <w:rPr>
      <w:rFonts w:eastAsia="方正小标宋_GBK"/>
      <w:kern w:val="44"/>
      <w:sz w:val="44"/>
    </w:rPr>
  </w:style>
  <w:style w:type="paragraph" w:styleId="5">
    <w:name w:val="heading 2"/>
    <w:basedOn w:val="1"/>
    <w:next w:val="1"/>
    <w:semiHidden/>
    <w:unhideWhenUsed/>
    <w:qFormat/>
    <w:uiPriority w:val="0"/>
    <w:pPr>
      <w:keepNext/>
      <w:keepLines/>
      <w:spacing w:beforeLines="0" w:beforeAutospacing="0" w:afterLines="0" w:afterAutospacing="0" w:line="600" w:lineRule="exact"/>
      <w:ind w:firstLine="640" w:firstLineChars="200"/>
      <w:outlineLvl w:val="1"/>
    </w:pPr>
    <w:rPr>
      <w:rFonts w:ascii="Times New Roman" w:hAnsi="Times New Roman" w:eastAsia="方正黑体_GBK"/>
    </w:rPr>
  </w:style>
  <w:style w:type="paragraph" w:styleId="6">
    <w:name w:val="heading 3"/>
    <w:basedOn w:val="1"/>
    <w:next w:val="1"/>
    <w:semiHidden/>
    <w:unhideWhenUsed/>
    <w:qFormat/>
    <w:uiPriority w:val="0"/>
    <w:pPr>
      <w:keepNext/>
      <w:keepLines/>
      <w:spacing w:beforeLines="0" w:beforeAutospacing="0" w:afterLines="0" w:afterAutospacing="0" w:line="600" w:lineRule="exact"/>
      <w:ind w:firstLine="640" w:firstLineChars="200"/>
      <w:outlineLvl w:val="2"/>
    </w:pPr>
    <w:rPr>
      <w:rFonts w:eastAsia="方正楷体_GBK"/>
    </w:rPr>
  </w:style>
  <w:style w:type="paragraph" w:styleId="7">
    <w:name w:val="heading 4"/>
    <w:basedOn w:val="1"/>
    <w:next w:val="1"/>
    <w:semiHidden/>
    <w:unhideWhenUsed/>
    <w:qFormat/>
    <w:uiPriority w:val="0"/>
    <w:pPr>
      <w:keepNext/>
      <w:keepLines/>
      <w:spacing w:beforeLines="0" w:beforeAutospacing="0" w:afterLines="0" w:afterAutospacing="0" w:line="600" w:lineRule="exact"/>
      <w:ind w:firstLine="640" w:firstLineChars="200"/>
      <w:outlineLvl w:val="3"/>
    </w:pPr>
    <w:rPr>
      <w:rFonts w:ascii="Times New Roman" w:hAnsi="Times New Roman" w:eastAsia="方正仿宋_GBK"/>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next w:val="1"/>
    <w:qFormat/>
    <w:uiPriority w:val="0"/>
    <w:pPr>
      <w:spacing w:line="300" w:lineRule="auto"/>
    </w:pPr>
    <w:rPr>
      <w:rFonts w:ascii="Arial" w:hAnsi="Arial" w:eastAsia="宋体" w:cs="黑体"/>
      <w:sz w:val="21"/>
      <w:szCs w:val="21"/>
      <w:lang w:val="en-US" w:eastAsia="zh-CN" w:bidi="ar-SA"/>
    </w:rPr>
  </w:style>
  <w:style w:type="paragraph" w:styleId="8">
    <w:name w:val="annotation text"/>
    <w:basedOn w:val="1"/>
    <w:qFormat/>
    <w:uiPriority w:val="0"/>
    <w:pPr>
      <w:tabs>
        <w:tab w:val="left" w:pos="0"/>
      </w:tabs>
    </w:pPr>
  </w:style>
  <w:style w:type="paragraph" w:customStyle="1" w:styleId="11">
    <w:name w:val="05、“(一)”正文三级标题"/>
    <w:basedOn w:val="1"/>
    <w:qFormat/>
    <w:uiPriority w:val="0"/>
    <w:pPr>
      <w:numPr>
        <w:ilvl w:val="1"/>
        <w:numId w:val="2"/>
      </w:numPr>
      <w:tabs>
        <w:tab w:val="left" w:pos="0"/>
      </w:tabs>
      <w:wordWrap w:val="0"/>
      <w:topLinePunct/>
      <w:ind w:firstLine="803" w:firstLineChars="200"/>
    </w:pPr>
  </w:style>
  <w:style w:type="paragraph" w:customStyle="1" w:styleId="12">
    <w:name w:val="06、“1.”正文四级标题"/>
    <w:basedOn w:val="1"/>
    <w:qFormat/>
    <w:uiPriority w:val="0"/>
    <w:pPr>
      <w:numPr>
        <w:ilvl w:val="2"/>
        <w:numId w:val="2"/>
      </w:numPr>
      <w:tabs>
        <w:tab w:val="left" w:pos="0"/>
      </w:tabs>
      <w:wordWrap w:val="0"/>
      <w:topLinePunct/>
      <w:ind w:firstLine="803" w:firstLineChars="200"/>
    </w:pPr>
    <w:rPr>
      <w:snapToGrid w:val="0"/>
    </w:rPr>
  </w:style>
  <w:style w:type="paragraph" w:customStyle="1" w:styleId="13">
    <w:name w:val="01、普通正文"/>
    <w:basedOn w:val="1"/>
    <w:qFormat/>
    <w:uiPriority w:val="0"/>
    <w:pPr>
      <w:tabs>
        <w:tab w:val="left" w:pos="0"/>
      </w:tabs>
      <w:wordWrap w:val="0"/>
      <w:topLinePunct/>
    </w:pPr>
    <w:rPr>
      <w:snapToGrid w:val="0"/>
    </w:rPr>
  </w:style>
  <w:style w:type="paragraph" w:customStyle="1" w:styleId="14">
    <w:name w:val="13、表格内居中正文"/>
    <w:basedOn w:val="1"/>
    <w:qFormat/>
    <w:uiPriority w:val="0"/>
    <w:pPr>
      <w:tabs>
        <w:tab w:val="left" w:pos="0"/>
      </w:tabs>
      <w:wordWrap w:val="0"/>
      <w:topLinePunct/>
      <w:spacing w:line="360" w:lineRule="exact"/>
      <w:jc w:val="center"/>
    </w:pPr>
    <w:rPr>
      <w:sz w:val="21"/>
    </w:rPr>
  </w:style>
  <w:style w:type="paragraph" w:customStyle="1" w:styleId="15">
    <w:name w:val="12、表格内左对齐正文"/>
    <w:basedOn w:val="1"/>
    <w:qFormat/>
    <w:uiPriority w:val="0"/>
    <w:pPr>
      <w:tabs>
        <w:tab w:val="left" w:pos="0"/>
      </w:tabs>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2025-06-09T07:26:00Z</dcterms:created>
  <dc:creator>HZT</dc:creator>
  <cp:lastModifiedBy>Kyle Huang</cp:lastModifiedBy>
  <dcterms:modified xsi:type="dcterms:W3CDTF">2025-10-21T01:37:21Z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41DA4DDE6CED438590F041C2AA7C711E_12</vt:lpwstr>
  </property>
  <property fmtid="{D5CDD505-2E9C-101B-9397-08002B2CF9AE}" pid="4" name="KSOTemplateDocerSaveRecord">
    <vt:lpwstr>eyJoZGlkIjoiYWNkZTczYzRjMTFhNjY3N2RmOTk3MjU4NjBhYjZkNjYiLCJ1c2VySWQiOiI0NzU2MDU3NDMifQ==</vt:lpwstr>
  </property>
</Properties>
</file>