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imes New Roman" w:hAnsi="Times New Roman" w:eastAsia="方正小标宋_GBK" w:cs="Times New Roman"/>
          <w:sz w:val="44"/>
          <w:szCs w:val="44"/>
        </w:rPr>
      </w:pPr>
      <w:r>
        <w:rPr>
          <w:rFonts w:hint="default" w:ascii="Times New Roman" w:hAnsi="Times New Roman" w:eastAsia="黑体" w:cs="Times New Roman"/>
          <w:sz w:val="32"/>
          <w:szCs w:val="32"/>
        </w:rPr>
        <w:t>附件2</w:t>
      </w: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四川省消防安全重点单位界定标准</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（征求意见稿）</w:t>
      </w:r>
    </w:p>
    <w:p>
      <w:pPr>
        <w:spacing w:line="580" w:lineRule="exact"/>
        <w:jc w:val="center"/>
        <w:rPr>
          <w:rFonts w:hint="default" w:ascii="Times New Roman" w:hAnsi="Times New Roman" w:eastAsia="方正小标宋_GBK" w:cs="Times New Roman"/>
          <w:sz w:val="44"/>
          <w:szCs w:val="44"/>
        </w:rPr>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为深入贯彻实施《中华人民共和国消防法》《四</w:t>
      </w:r>
      <w:bookmarkStart w:id="0" w:name="_GoBack"/>
      <w:bookmarkEnd w:id="0"/>
      <w:r>
        <w:rPr>
          <w:rFonts w:hint="default" w:ascii="Times New Roman" w:hAnsi="Times New Roman" w:eastAsia="方正仿宋_GBK" w:cs="Times New Roman"/>
          <w:sz w:val="32"/>
          <w:szCs w:val="32"/>
        </w:rPr>
        <w:t>川省消防条例》, 结合四川省经济社会发展现状和消防安全管理现实需求，特制定四川省消防安全重点单位界定标准。</w:t>
      </w:r>
    </w:p>
    <w:p>
      <w:pPr>
        <w:numPr>
          <w:ilvl w:val="0"/>
          <w:numId w:val="1"/>
        </w:num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公众聚集场所</w:t>
      </w:r>
    </w:p>
    <w:p>
      <w:pPr>
        <w:numPr>
          <w:ilvl w:val="0"/>
          <w:numId w:val="2"/>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客房数在100间以上，以及设置于地下、半地下客房数在50间以上，或者建筑面积在3000平方米以上的旅馆。</w:t>
      </w:r>
    </w:p>
    <w:p>
      <w:pPr>
        <w:numPr>
          <w:ilvl w:val="0"/>
          <w:numId w:val="2"/>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建筑面积在3000平方米以上,以及设置于地下、半地下建筑面积在500平方米以上，且室内经营可燃商品的商场、集贸市场。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成都市建筑面积在5000平方米以上,以及设置于地下、半地下建筑面积在500平方米以上，且经营可燃商品的商场、集贸市场。</w:t>
      </w:r>
    </w:p>
    <w:p>
      <w:pPr>
        <w:numPr>
          <w:ilvl w:val="0"/>
          <w:numId w:val="2"/>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营业面积在3000平方米以上不具有娱乐功能的餐饮场所。</w:t>
      </w:r>
    </w:p>
    <w:p>
      <w:pPr>
        <w:numPr>
          <w:ilvl w:val="0"/>
          <w:numId w:val="2"/>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建筑面积在3000平方米以上的客运车站候车室、客运码头候船厅、民用机场航站楼。</w:t>
      </w:r>
    </w:p>
    <w:p>
      <w:pPr>
        <w:numPr>
          <w:ilvl w:val="0"/>
          <w:numId w:val="2"/>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中型以上公共体育场（馆），座位数大于2000个的公共会堂。</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成都市大型以上公共体育场（馆），座位数大于2000个的公共会堂。</w:t>
      </w:r>
    </w:p>
    <w:p>
      <w:pPr>
        <w:numPr>
          <w:ilvl w:val="0"/>
          <w:numId w:val="2"/>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建筑面积在1000平方米以上，以及设置于地下、半地下建筑面积在500平方米以上的公共娱乐场所。</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1.影剧院、录像厅、礼堂等演出、放映场所；</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2.舞厅、卡拉OK 厅、夜总会等歌舞娱乐场所；</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3.具有娱乐功能的音乐茶座和餐饮场所；</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4.网吧，游艺、游乐场所；</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5.保龄球馆、旱冰场、桑拿浴室、茶坊等营业性健身、休闲场所。</w:t>
      </w:r>
    </w:p>
    <w:p>
      <w:pPr>
        <w:numPr>
          <w:ilvl w:val="0"/>
          <w:numId w:val="1"/>
        </w:num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医院、养老机构和寄宿制的学校、托儿所、幼儿园</w:t>
      </w:r>
    </w:p>
    <w:p>
      <w:pPr>
        <w:numPr>
          <w:ilvl w:val="0"/>
          <w:numId w:val="3"/>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二级以上的医院。</w:t>
      </w:r>
    </w:p>
    <w:p>
      <w:pPr>
        <w:numPr>
          <w:ilvl w:val="0"/>
          <w:numId w:val="3"/>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床位在100张以上的养老机构。</w:t>
      </w:r>
    </w:p>
    <w:p>
      <w:pPr>
        <w:numPr>
          <w:ilvl w:val="0"/>
          <w:numId w:val="3"/>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中型以上的托儿所、幼儿园。 </w:t>
      </w:r>
    </w:p>
    <w:p>
      <w:pPr>
        <w:numPr>
          <w:ilvl w:val="0"/>
          <w:numId w:val="3"/>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学生床位在100张以上的小学学校，学生床位在200张以上的其他学校。</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（五）1000人以上的非寄宿制学校，200人以上的非寄宿制特殊教育学校。</w:t>
      </w:r>
    </w:p>
    <w:p>
      <w:pPr>
        <w:numPr>
          <w:ilvl w:val="0"/>
          <w:numId w:val="1"/>
        </w:num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国家机关</w:t>
      </w:r>
    </w:p>
    <w:p>
      <w:pPr>
        <w:numPr>
          <w:ilvl w:val="0"/>
          <w:numId w:val="4"/>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县级以上党委、人大、政府、政协机关。</w:t>
      </w:r>
    </w:p>
    <w:p>
      <w:pPr>
        <w:numPr>
          <w:ilvl w:val="0"/>
          <w:numId w:val="4"/>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县级以上人民检察院、人民法院、监察委员会。</w:t>
      </w:r>
    </w:p>
    <w:p>
      <w:pPr>
        <w:spacing w:line="580" w:lineRule="exact"/>
        <w:ind w:firstLine="640" w:firstLineChars="200"/>
        <w:rPr>
          <w:rFonts w:hint="default" w:ascii="Times New Roman" w:hAnsi="Times New Roman" w:eastAsia="方正仿宋_GBK" w:cs="Times New Roman"/>
          <w:sz w:val="32"/>
          <w:szCs w:val="32"/>
          <w:highlight w:val="yellow"/>
        </w:rPr>
      </w:pPr>
      <w:r>
        <w:rPr>
          <w:rFonts w:hint="default" w:ascii="Times New Roman" w:hAnsi="Times New Roman" w:eastAsia="方正黑体_GBK" w:cs="Times New Roman"/>
          <w:sz w:val="32"/>
          <w:szCs w:val="32"/>
        </w:rPr>
        <w:t>四、广播电视台和邮政、通信枢纽、大数据中心</w:t>
      </w:r>
    </w:p>
    <w:p>
      <w:pPr>
        <w:numPr>
          <w:ilvl w:val="0"/>
          <w:numId w:val="5"/>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广播电视台，各级党政机关主管的报社。</w:t>
      </w:r>
    </w:p>
    <w:p>
      <w:pPr>
        <w:numPr>
          <w:ilvl w:val="0"/>
          <w:numId w:val="5"/>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县级以上邮政和通信枢纽单位、大数据中心。</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五、公共图书馆、展览馆、博物馆、档案馆，具有火灾危险性的文物保护单位，宗教活动场所。</w:t>
      </w:r>
    </w:p>
    <w:p>
      <w:pPr>
        <w:numPr>
          <w:ilvl w:val="0"/>
          <w:numId w:val="6"/>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市级以上或者藏书50万册以上的公共图书馆，中型以上的展览馆。</w:t>
      </w:r>
    </w:p>
    <w:p>
      <w:pPr>
        <w:numPr>
          <w:ilvl w:val="0"/>
          <w:numId w:val="6"/>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三级以上博物馆，国家档案馆。</w:t>
      </w:r>
    </w:p>
    <w:p>
      <w:pPr>
        <w:numPr>
          <w:ilvl w:val="0"/>
          <w:numId w:val="6"/>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具有火灾危险性的省级以上文物保护单位。</w:t>
      </w:r>
    </w:p>
    <w:p>
      <w:pPr>
        <w:numPr>
          <w:ilvl w:val="0"/>
          <w:numId w:val="6"/>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宗教教职人员在50人以上或者建筑面积在2500平方米以上的宗教活动场所。</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六、发电厂和电网经营企业、储能电站</w:t>
      </w:r>
    </w:p>
    <w:p>
      <w:pPr>
        <w:numPr>
          <w:ilvl w:val="0"/>
          <w:numId w:val="7"/>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中型以上发电厂（站），500KV及以上变电站和换流站。</w:t>
      </w:r>
    </w:p>
    <w:p>
      <w:pPr>
        <w:numPr>
          <w:ilvl w:val="0"/>
          <w:numId w:val="7"/>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县级以上电网经营企业、承担电力调度功能的供电单位。</w:t>
      </w:r>
    </w:p>
    <w:p>
      <w:pPr>
        <w:numPr>
          <w:ilvl w:val="0"/>
          <w:numId w:val="7"/>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大型电化学储能电站。</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七、易燃易爆化学物品的生产、充装、储存、供应、销售单位</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（一）生产、储存易燃易爆化学物品的工厂、专用仓库。</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（二）易燃易爆气体和液体的充装站、调压站。</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（三）连锁经营体系实行集中配送的汽车加油加气加氢站，液化石油气供应站（换瓶站）。</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八、生产、加工企业</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企业员工总数在1000人以上，或者同一建筑同一时间的使用人数在300人以上的服装、鞋帽、玩具、木制品、家具、塑料、食品加工和纺织、印染、印刷等劳动密集型企业。</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九、重要科研单位</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（一）国家和省级科研单位。</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（二）国家实验室、全国重点实验室。</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十、其他发生火灾可能性较大以及一旦发生火灾可能造成人身重大伤亡或者财产重大损失的单位和场所</w:t>
      </w:r>
    </w:p>
    <w:p>
      <w:pPr>
        <w:numPr>
          <w:ilvl w:val="0"/>
          <w:numId w:val="8"/>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停车数量在300辆以上或者建筑面积大于10000平方米独立建造的经营性汽车库，车位数大于60个或者建筑面积大于3000平方米的修车库，停车数量在200辆以上的公交车、客车停车场；室内集中布置的充电设施区且建筑面积在1000平方米以上的电动汽车充电站。</w:t>
      </w:r>
    </w:p>
    <w:p>
      <w:pPr>
        <w:numPr>
          <w:ilvl w:val="0"/>
          <w:numId w:val="8"/>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省属监狱和司法行政戒毒场所。</w:t>
      </w:r>
    </w:p>
    <w:p>
      <w:pPr>
        <w:numPr>
          <w:ilvl w:val="0"/>
          <w:numId w:val="8"/>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固定资产（建筑、设备、原材料等）价值在2亿元以上的工业企业。</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成都市固定资产（建筑、设备、原材料等）价值在5亿元以上的工业企业。</w:t>
      </w:r>
    </w:p>
    <w:p>
      <w:pPr>
        <w:numPr>
          <w:ilvl w:val="0"/>
          <w:numId w:val="8"/>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央行、商业银行的分行级以上分支机构。</w:t>
      </w:r>
    </w:p>
    <w:p>
      <w:pPr>
        <w:numPr>
          <w:ilvl w:val="0"/>
          <w:numId w:val="8"/>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4A级以上旅游景区。</w:t>
      </w:r>
    </w:p>
    <w:p>
      <w:pPr>
        <w:numPr>
          <w:ilvl w:val="0"/>
          <w:numId w:val="8"/>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大型商业综合体。</w:t>
      </w:r>
    </w:p>
    <w:p>
      <w:pPr>
        <w:numPr>
          <w:ilvl w:val="0"/>
          <w:numId w:val="8"/>
        </w:numPr>
        <w:spacing w:line="58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城市轨道交通换乘站、城市轨道交通车辆场段、存车场。</w:t>
      </w:r>
    </w:p>
    <w:p/>
    <w:sectPr>
      <w:headerReference r:id="rId3" w:type="default"/>
      <w:footerReference r:id="rId4" w:type="default"/>
      <w:pgSz w:w="11906" w:h="16838"/>
      <w:pgMar w:top="1418" w:right="1531" w:bottom="1418" w:left="1531" w:header="850" w:footer="850" w:gutter="0"/>
      <w:pgNumType w:fmt="decimal" w:start="2"/>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51" w:wrap="around" w:vAnchor="text" w:hAnchor="margin" w:xAlign="outside" w:y="-120"/>
      <w:ind w:firstLine="280" w:firstLineChars="100"/>
      <w:rPr>
        <w:rStyle w:val="8"/>
        <w:rFonts w:ascii="宋体" w:hAnsi="宋体"/>
        <w:sz w:val="28"/>
        <w:szCs w:val="28"/>
      </w:rPr>
    </w:pPr>
    <w:r>
      <w:rPr>
        <w:rStyle w:val="8"/>
        <w:rFonts w:hint="eastAsia" w:ascii="宋体" w:hAnsi="宋体"/>
        <w:sz w:val="28"/>
        <w:szCs w:val="28"/>
      </w:rPr>
      <w:t>—</w:t>
    </w:r>
    <w:r>
      <w:rPr>
        <w:rStyle w:val="8"/>
        <w:rFonts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2</w:t>
    </w:r>
    <w:r>
      <w:rPr>
        <w:rFonts w:ascii="Times New Roman" w:hAnsi="Times New Roman"/>
        <w:sz w:val="28"/>
        <w:szCs w:val="28"/>
      </w:rPr>
      <w:fldChar w:fldCharType="end"/>
    </w:r>
    <w:r>
      <w:rPr>
        <w:rStyle w:val="8"/>
        <w:rFonts w:ascii="Times New Roman" w:hAnsi="Times New Roman"/>
        <w:sz w:val="28"/>
        <w:szCs w:val="28"/>
      </w:rPr>
      <w:t xml:space="preserve"> </w:t>
    </w:r>
    <w:r>
      <w:rPr>
        <w:rStyle w:val="8"/>
        <w:rFonts w:hint="eastAsia" w:ascii="宋体" w:hAnsi="宋体"/>
        <w:sz w:val="28"/>
        <w:szCs w:val="28"/>
      </w:rPr>
      <w:t>—</w: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E280"/>
    <w:multiLevelType w:val="singleLevel"/>
    <w:tmpl w:val="8AFFE280"/>
    <w:lvl w:ilvl="0" w:tentative="0">
      <w:start w:val="1"/>
      <w:numFmt w:val="chineseCounting"/>
      <w:suff w:val="nothing"/>
      <w:lvlText w:val="（%1）"/>
      <w:lvlJc w:val="left"/>
      <w:rPr>
        <w:rFonts w:hint="eastAsia" w:ascii="Times New Roman" w:hAnsi="Times New Roman" w:eastAsia="方正仿宋_GBK" w:cs="Times New Roman"/>
      </w:rPr>
    </w:lvl>
  </w:abstractNum>
  <w:abstractNum w:abstractNumId="1">
    <w:nsid w:val="AB90DDB1"/>
    <w:multiLevelType w:val="singleLevel"/>
    <w:tmpl w:val="AB90DDB1"/>
    <w:lvl w:ilvl="0" w:tentative="0">
      <w:start w:val="1"/>
      <w:numFmt w:val="chineseCounting"/>
      <w:suff w:val="nothing"/>
      <w:lvlText w:val="（%1）"/>
      <w:lvlJc w:val="left"/>
      <w:rPr>
        <w:rFonts w:hint="eastAsia" w:ascii="Times New Roman" w:hAnsi="Times New Roman" w:eastAsia="方正仿宋_GBK" w:cs="Times New Roman"/>
      </w:rPr>
    </w:lvl>
  </w:abstractNum>
  <w:abstractNum w:abstractNumId="2">
    <w:nsid w:val="D0E479AA"/>
    <w:multiLevelType w:val="singleLevel"/>
    <w:tmpl w:val="D0E479AA"/>
    <w:lvl w:ilvl="0" w:tentative="0">
      <w:start w:val="1"/>
      <w:numFmt w:val="chineseCounting"/>
      <w:suff w:val="nothing"/>
      <w:lvlText w:val="（%1）"/>
      <w:lvlJc w:val="left"/>
      <w:rPr>
        <w:rFonts w:hint="eastAsia" w:ascii="Times New Roman" w:hAnsi="Times New Roman" w:eastAsia="方正仿宋_GBK" w:cs="Times New Roman"/>
      </w:rPr>
    </w:lvl>
  </w:abstractNum>
  <w:abstractNum w:abstractNumId="3">
    <w:nsid w:val="D64CAC3C"/>
    <w:multiLevelType w:val="singleLevel"/>
    <w:tmpl w:val="D64CAC3C"/>
    <w:lvl w:ilvl="0" w:tentative="0">
      <w:start w:val="1"/>
      <w:numFmt w:val="chineseCounting"/>
      <w:suff w:val="nothing"/>
      <w:lvlText w:val="（%1）"/>
      <w:lvlJc w:val="left"/>
      <w:rPr>
        <w:rFonts w:hint="eastAsia" w:ascii="Times New Roman" w:hAnsi="Times New Roman" w:eastAsia="方正仿宋_GBK" w:cs="Times New Roman"/>
      </w:rPr>
    </w:lvl>
  </w:abstractNum>
  <w:abstractNum w:abstractNumId="4">
    <w:nsid w:val="044DCDED"/>
    <w:multiLevelType w:val="singleLevel"/>
    <w:tmpl w:val="044DCDED"/>
    <w:lvl w:ilvl="0" w:tentative="0">
      <w:start w:val="1"/>
      <w:numFmt w:val="chineseCounting"/>
      <w:suff w:val="nothing"/>
      <w:lvlText w:val="（%1）"/>
      <w:lvlJc w:val="left"/>
      <w:rPr>
        <w:rFonts w:hint="eastAsia" w:ascii="Times New Roman" w:hAnsi="Times New Roman" w:eastAsia="方正仿宋_GBK" w:cs="Times New Roman"/>
      </w:rPr>
    </w:lvl>
  </w:abstractNum>
  <w:abstractNum w:abstractNumId="5">
    <w:nsid w:val="278FBA67"/>
    <w:multiLevelType w:val="singleLevel"/>
    <w:tmpl w:val="278FBA67"/>
    <w:lvl w:ilvl="0" w:tentative="0">
      <w:start w:val="1"/>
      <w:numFmt w:val="chineseCounting"/>
      <w:suff w:val="nothing"/>
      <w:lvlText w:val="（%1）"/>
      <w:lvlJc w:val="left"/>
      <w:rPr>
        <w:rFonts w:hint="eastAsia" w:ascii="Times New Roman" w:hAnsi="Times New Roman" w:eastAsia="方正仿宋_GBK" w:cs="Times New Roman"/>
      </w:rPr>
    </w:lvl>
  </w:abstractNum>
  <w:abstractNum w:abstractNumId="6">
    <w:nsid w:val="545D8211"/>
    <w:multiLevelType w:val="singleLevel"/>
    <w:tmpl w:val="545D8211"/>
    <w:lvl w:ilvl="0" w:tentative="0">
      <w:start w:val="1"/>
      <w:numFmt w:val="chineseCounting"/>
      <w:suff w:val="nothing"/>
      <w:lvlText w:val="（%1）"/>
      <w:lvlJc w:val="left"/>
      <w:rPr>
        <w:rFonts w:hint="eastAsia" w:ascii="Times New Roman" w:hAnsi="Times New Roman" w:eastAsia="方正仿宋_GBK" w:cs="Times New Roman"/>
      </w:rPr>
    </w:lvl>
  </w:abstractNum>
  <w:abstractNum w:abstractNumId="7">
    <w:nsid w:val="77D8B3AB"/>
    <w:multiLevelType w:val="singleLevel"/>
    <w:tmpl w:val="77D8B3AB"/>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7"/>
  </w:num>
  <w:num w:numId="2">
    <w:abstractNumId w:val="5"/>
  </w:num>
  <w:num w:numId="3">
    <w:abstractNumId w:val="6"/>
  </w:num>
  <w:num w:numId="4">
    <w:abstractNumId w:val="4"/>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6DFF045B"/>
    <w:rsid w:val="6DFF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0"/>
    <w:pPr>
      <w:spacing w:after="120"/>
    </w:pPr>
    <w:rPr>
      <w:rFonts w:ascii="Verdana" w:hAnsi="Verdana" w:eastAsia="仿宋_GB2312"/>
      <w:lang w:eastAsia="en-US"/>
    </w:rPr>
  </w:style>
  <w:style w:type="paragraph" w:styleId="3">
    <w:name w:val="toc 5"/>
    <w:basedOn w:val="1"/>
    <w:next w:val="1"/>
    <w:semiHidden/>
    <w:uiPriority w:val="99"/>
    <w:pPr>
      <w:ind w:left="1680" w:leftChars="800"/>
    </w:pPr>
  </w:style>
  <w:style w:type="paragraph" w:styleId="4">
    <w:name w:val="footer"/>
    <w:basedOn w:val="1"/>
    <w:next w:val="1"/>
    <w:unhideWhenUsed/>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next w:val="3"/>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page number"/>
    <w:basedOn w:val="7"/>
    <w:qFormat/>
    <w:uiPriority w:val="0"/>
    <w:rPr>
      <w:rFonts w:ascii="Tahoma" w:hAnsi="Tahoma"/>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2023-11-21T09:49:00Z</dcterms:created>
  <dc:creator>二七</dc:creator>
  <cp:lastModifiedBy>二七</cp:lastModifiedBy>
  <dcterms:modified xsi:type="dcterms:W3CDTF">2023-11-21T09:49:27Z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76D9AAF4913944B49C93B12B3C21C964_11</vt:lpwstr>
  </property>
</Properties>
</file>